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18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BACB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p w14:paraId="7DCCFB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17</w:t>
      </w:r>
    </w:p>
    <w:p w14:paraId="141124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по охране труда для заведующего отделением </w:t>
      </w:r>
      <w:r>
        <w:rPr>
          <w:rFonts w:hint="default" w:ascii="Times New Roman" w:hAnsi="Times New Roman" w:eastAsia="Calibri" w:cs="Times New Roman"/>
          <w:sz w:val="24"/>
          <w:szCs w:val="24"/>
          <w:lang w:val="ru" w:eastAsia="en-US" w:bidi="ar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врача-методиста</w:t>
      </w:r>
    </w:p>
    <w:p w14:paraId="7B8F8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9519D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15FA91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5136D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1.1. Настоящая инструкция по охране труда для заведующего отделением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врача-методиста разработана на основе установленных обязательных требований по охране труда в Российской Федерации, а также:</w:t>
      </w:r>
    </w:p>
    <w:p w14:paraId="4C3229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видов работ заведующего отделением - врача-методиста;</w:t>
      </w:r>
    </w:p>
    <w:p w14:paraId="4134C5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1508FA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201D9F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врача-методиста;</w:t>
      </w:r>
    </w:p>
    <w:p w14:paraId="5F8261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случаев, произошедших с заведующим отделением - врачом-методистом (далее также – работник, врач, врач-методист);</w:t>
      </w:r>
    </w:p>
    <w:p w14:paraId="0771E3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врача-методиста.</w:t>
      </w:r>
    </w:p>
    <w:p w14:paraId="60DB3F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Выполнение требований настоящей инструкции обязательны для врача-методиста при выполнении им трудовых обязанностей независимо от их специальности, квалификации и стажа работы.</w:t>
      </w:r>
    </w:p>
    <w:p w14:paraId="3751EC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F7F8A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3142B5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4EE2F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13D2D3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2AC271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Постановление Правительства РФ от 24.12.2021 № 2464 «О порядке обучения по охране труда и проверки знания требований охраны труда»;</w:t>
      </w:r>
    </w:p>
    <w:p w14:paraId="1C1062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2.1.3. Правила по охране труда при эксплуатации электроустановок, Приказ Минтруда от 15.12.2020 № 903н;</w:t>
      </w:r>
    </w:p>
    <w:p w14:paraId="4B0838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2.1.4.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«Об утверждении санитарных правил СП 2.2.3670-20 «санитарно-эпидемиологические требования к условиям труда»;</w:t>
      </w:r>
    </w:p>
    <w:p w14:paraId="222F12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Минтруда России от 18.12.2020 № 928н «Об утверждении Правил по охране труда в медицинских организациях».</w:t>
      </w:r>
    </w:p>
    <w:p w14:paraId="3AB463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AB8A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3FF5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8605D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318E35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C0D6F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20C80A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врачом-методистом допускаются лица старше 18 лет, прошедшие:</w:t>
      </w:r>
    </w:p>
    <w:p w14:paraId="785B25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53A5D5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4643A4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4454C6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5A1F38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DA2EA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23BD55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4E9860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1648A4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76EB5F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026FF2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058BA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05A537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4D5E2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66DF04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1B1D05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75702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42C1AE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585A30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7955B9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опасности;</w:t>
      </w:r>
    </w:p>
    <w:p w14:paraId="63054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18F091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инструкциями, в том числе вне цеха, участка, погрузочно-разгрузочных работ, работ по уборке территорий, работ на проезжей части дорог и на железнодорожных путях;</w:t>
      </w:r>
    </w:p>
    <w:p w14:paraId="3A8257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6A27B9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96F02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2A026C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602C9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5A3369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7E9937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Работник обязан соблюдать действующие в учреждении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4D9A5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570CA9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Работник обязан соблюдать режимы труда и отдыха.</w:t>
      </w:r>
    </w:p>
    <w:p w14:paraId="393F48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3.3.2. Продолжительность ежедневной работы, перерывов для отдыха и приема пищи определяется Правилами внутреннего трудового распорядка. </w:t>
      </w:r>
    </w:p>
    <w:p w14:paraId="138096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3F6967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Работник должен выходить на работу своевременно, отдохнувшим, подготовленным к работе.</w:t>
      </w:r>
    </w:p>
    <w:p w14:paraId="4731EE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3D8A84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врача-методиста могут воздействовать опасные и вредные производственные факторы:</w:t>
      </w:r>
    </w:p>
    <w:p w14:paraId="665489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2FEE55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22CED1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32C7DB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1CE87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влажность и подвижность воздуха;</w:t>
      </w:r>
    </w:p>
    <w:p w14:paraId="0EC7EA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</w:t>
      </w:r>
    </w:p>
    <w:p w14:paraId="124498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аэроионов при работе с ПЭВМ и с электрофотокопировальной техникой;</w:t>
      </w:r>
    </w:p>
    <w:p w14:paraId="0F9301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226FEE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1852B8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3.4.1.10.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337B65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529B48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04C30E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288324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неблагоприятные факторы.</w:t>
      </w:r>
    </w:p>
    <w:p w14:paraId="58DBB0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 и опасности:</w:t>
      </w:r>
    </w:p>
    <w:p w14:paraId="147B5A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поражения током вследствие контакта с токоведущими часями, которые находятся под напряжением из-за неисправного состояния;</w:t>
      </w:r>
    </w:p>
    <w:p w14:paraId="2C3C08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0B2AB2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от вдыхания дыма, паров вредных газов и пыли при пожаре;</w:t>
      </w:r>
    </w:p>
    <w:p w14:paraId="742C2F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воспламенения;</w:t>
      </w:r>
    </w:p>
    <w:p w14:paraId="4AD33B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воздействия открытого пламени;</w:t>
      </w:r>
    </w:p>
    <w:p w14:paraId="2C4967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воздействия повышенной температуры окружающей среды;</w:t>
      </w:r>
    </w:p>
    <w:p w14:paraId="6861B2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3EC91E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31DE0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7E1B28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01C60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3.1.15. При выполнении работ работник обеспечивается спецодеждой, спецобувью и СИЗ в соответствии с «Нормами бесплатной выдачи СИЗ и смывающих средств».</w:t>
      </w:r>
    </w:p>
    <w:p w14:paraId="23A7A1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ABB44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1FCFDB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места работы запрещается.</w:t>
      </w:r>
    </w:p>
    <w:p w14:paraId="147EB6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5D2D1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любым доступным для этого способом и обратиться в здравпункт (при наличии).</w:t>
      </w:r>
    </w:p>
    <w:p w14:paraId="2DE59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Работник должен 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требований охраны труда,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</w:r>
    </w:p>
    <w:p w14:paraId="02894D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2AB5FA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0249FF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3B78BC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05DD8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751AC5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64889C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712DA6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5608B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5A38E1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BB027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381675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 Перед началом работы врачу-методисту следует рационально организовать свое рабочее место.</w:t>
      </w:r>
    </w:p>
    <w:p w14:paraId="78EFD1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Площадь одного постоянного рабочего места пользователя персонального компьютера на базе электронно-лучевой трубки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14:paraId="7E457F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14:paraId="7D0A81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Не рекомендуется располагать монитор экраном к окну.</w:t>
      </w:r>
    </w:p>
    <w:p w14:paraId="25C7A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14:paraId="755B60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14:paraId="24B6DC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4.1.7 Работник должен убрать с рабочего места все лишние предметы, не используемые в работе.</w:t>
      </w:r>
    </w:p>
    <w:p w14:paraId="5D106D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14:paraId="5285BE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14:paraId="6158F2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4.2. Порядок проверки исходных материалов </w:t>
      </w:r>
    </w:p>
    <w:p w14:paraId="2A2AC2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55025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7592E2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 w14:paraId="61430F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608C53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При работе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126712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2B5468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При работе работник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05AC45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14:paraId="0BE182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При работе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02C64B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1EB8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7A3349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9A5B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работ.</w:t>
      </w:r>
    </w:p>
    <w:p w14:paraId="46524C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5.1.1. Работник во время работы обязан: </w:t>
      </w:r>
    </w:p>
    <w:p w14:paraId="634459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в порядке и чистоте рабочее место, не допускать загромождения его документами;</w:t>
      </w:r>
    </w:p>
    <w:p w14:paraId="528A2A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0325D0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2E2357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0156BF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7F703A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159EF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электросети, только держась за вилку штепсельного соединителя.</w:t>
      </w:r>
    </w:p>
    <w:p w14:paraId="0F36AC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488886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6BF5FE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34D3EB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577438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3C0A01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1020DA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43330E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6CA279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6A9743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При выполнении работ работнику запрещается:</w:t>
      </w:r>
    </w:p>
    <w:p w14:paraId="6BAEAF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5.1.9.1. При работе с ПЭВМ:</w:t>
      </w:r>
    </w:p>
    <w:p w14:paraId="1B63DC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прикасаться к задней панели системного блока (процессора) при включенном питании;</w:t>
      </w:r>
    </w:p>
    <w:p w14:paraId="2C117F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производить переключение разъемов интерфейсных кабелей периферийных устройств при включенном питании;</w:t>
      </w:r>
    </w:p>
    <w:p w14:paraId="0BC7B9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загромождать верхние панели устройств бумагами и посторонними предметами;</w:t>
      </w:r>
    </w:p>
    <w:p w14:paraId="2FFF87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допускать захламленность рабочего места;</w:t>
      </w:r>
    </w:p>
    <w:p w14:paraId="70707B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производить отключение питания во время выполнения активной задачи;</w:t>
      </w:r>
    </w:p>
    <w:p w14:paraId="3EC512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F3BD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включать сильно охлажденное (принесенное с улицы в зимнее время) оборудование;</w:t>
      </w:r>
    </w:p>
    <w:p w14:paraId="38DF65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производить самостоятельно вскрытие и ремонт оборудования.</w:t>
      </w:r>
    </w:p>
    <w:p w14:paraId="7640A1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5.1.9.2. При пользовании электроприборами:</w:t>
      </w:r>
    </w:p>
    <w:p w14:paraId="713993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приборы с неисправной электропроводкой;</w:t>
      </w:r>
    </w:p>
    <w:p w14:paraId="6C6DC7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очищать от загрязнения и пыли включенные осветительные аппараты и электрические лампы;</w:t>
      </w:r>
    </w:p>
    <w:p w14:paraId="4D9B4C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ремонтировать электроприборы самостоятельно;</w:t>
      </w:r>
    </w:p>
    <w:p w14:paraId="1E50E9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батареи отопления, вешать что-либо на провода, вытягивать за шнур вилку из розетки;</w:t>
      </w:r>
    </w:p>
    <w:p w14:paraId="7AF440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прикасаться к электрическим проводам, не изолированным и не огражденным токоведущим частям электрических устройств, аппаратов и приборов (розеток, патронов, переключателей, предохранителей);</w:t>
      </w:r>
    </w:p>
    <w:p w14:paraId="112E10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применять на открытом воздухе бытовые электроприборы и переносные светильники, предназначенные для работы в помещениях;</w:t>
      </w:r>
    </w:p>
    <w:p w14:paraId="59F651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пользоваться самодельными электронагревательными приборами и электроприборами с открытой спиралью;</w:t>
      </w:r>
    </w:p>
    <w:p w14:paraId="6543A2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наступать на переносимые электрические провода, лежащие на полу.</w:t>
      </w:r>
    </w:p>
    <w:p w14:paraId="2DF72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5.1.10. При работе, связанной с возможностью загрязнения рук мокротой или другими выделениями пациента (в том числе собирание и перенос плевательниц, наполненных мокротой, приготовление мазков) необходимо пользоваться резиновыми перчатками. После работы одноразовые перчатки подлежат утилизации.</w:t>
      </w:r>
    </w:p>
    <w:p w14:paraId="524845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с инфицированным материалом необходимо проявлять повышенную внимательность, не спешить, не отвлекаться посторонними делами и разговорами. Работниками бактериологических лабораторий запрещается вести разговоры при проведении манипуляций.</w:t>
      </w:r>
    </w:p>
    <w:p w14:paraId="408243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работ запрещается:</w:t>
      </w:r>
    </w:p>
    <w:p w14:paraId="301CB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садиться на кровати пациентов;</w:t>
      </w:r>
    </w:p>
    <w:p w14:paraId="660743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пользоваться туалетом, предназначенным для пациентов, посудой и другими вещами, находящимися в пользовании пациентов;</w:t>
      </w:r>
    </w:p>
    <w:p w14:paraId="77CE96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переходить из одного отделения в другое или входить в боксы и палаты без необходимости;</w:t>
      </w:r>
    </w:p>
    <w:p w14:paraId="096699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отлучаться с рабочего места без разрешения главного врача (заведующего отделением);</w:t>
      </w:r>
    </w:p>
    <w:p w14:paraId="47CD53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покидать кабинет (помещение) во время проведения медицинских манипуляций с использованием медицинской техники, оставлять пациентов без присмотра;</w:t>
      </w:r>
    </w:p>
    <w:p w14:paraId="4F36C3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оставлять без присмотра лекарственные препараты, медицинские приборы, оборудование.</w:t>
      </w:r>
    </w:p>
    <w:p w14:paraId="7DD55A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2EA0D4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18ABC8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516452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3C8BB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6CE96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4718D4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5.3.3.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64484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613F8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5D5ED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врача-методиста рекомендуется организовывать рабочую смену путем чередования работ с использованием ПЭВМ и без него.</w:t>
      </w:r>
    </w:p>
    <w:p w14:paraId="32486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врача-методиста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14:paraId="409CF1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58B76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 Работник,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22A840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7C1CF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66A122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459C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565ED3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5DAA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791CBD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 При выполнении работ врачом-методистом возможно возникновение следующих аварийных ситуаций:</w:t>
      </w:r>
    </w:p>
    <w:p w14:paraId="0D1F7E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611844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поражение электрическим током, по причине неисправности электроприборов;</w:t>
      </w:r>
    </w:p>
    <w:p w14:paraId="321E0C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9C270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7E9499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Действия работника при возникновении аварий и аварийных ситуаций.</w:t>
      </w:r>
    </w:p>
    <w:p w14:paraId="510C6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59242B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03AA80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 w14:paraId="7517C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по оказанию первой помощи пострадавшим при травмировании, отравлении и других повреждениях здоровья.</w:t>
      </w:r>
    </w:p>
    <w:p w14:paraId="1146F3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4B4AC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6.3.2.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шину.</w:t>
      </w:r>
    </w:p>
    <w:p w14:paraId="44D136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 При наличии ран необходимо наложить повязку, при артериальном кровотечении - наложить жгут.</w:t>
      </w:r>
    </w:p>
    <w:p w14:paraId="02962F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373C2D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5DBBDE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6C730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1F84A5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2DB03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6007BE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A17AB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0A3785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5AF8C9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26B046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5AA41C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58E0CE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5031CA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75E2DC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6B8D55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203C37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66A677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0B4052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FDAF1A9">
      <w:pPr>
        <w:keepNext w:val="0"/>
        <w:keepLines w:val="0"/>
        <w:pageBreakBefore w:val="0"/>
        <w:widowControl/>
        <w:tabs>
          <w:tab w:val="left" w:pos="126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left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6570FB00">
      <w:pPr>
        <w:keepNext w:val="0"/>
        <w:keepLines w:val="0"/>
        <w:pageBreakBefore w:val="0"/>
        <w:widowControl/>
        <w:tabs>
          <w:tab w:val="left" w:pos="126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left"/>
        <w:textAlignment w:val="auto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68C3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 xml:space="preserve">для заведующего отделением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i/>
                <w:iCs/>
                <w:sz w:val="24"/>
                <w:szCs w:val="24"/>
                <w:lang w:val="ru" w:eastAsia="en-US" w:bidi="ar"/>
              </w:rPr>
              <w:t>–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 xml:space="preserve"> врача-методиста</w:t>
            </w:r>
          </w:p>
          <w:p w14:paraId="56D75123">
            <w:pPr>
              <w:pStyle w:val="10"/>
              <w:rPr>
                <w:i/>
                <w:iCs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1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137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36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239A6D4F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057CC7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89449859"/>
      <w:docPartObj>
        <w:docPartGallery w:val="autotext"/>
      </w:docPartObj>
    </w:sdtPr>
    <w:sdtContent>
      <w:p w14:paraId="2B4CD0C7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8</w:t>
        </w:r>
        <w:r>
          <w:fldChar w:fldCharType="end"/>
        </w:r>
      </w:p>
    </w:sdtContent>
  </w:sdt>
  <w:p w14:paraId="74465420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43074"/>
    <w:rsid w:val="00236E2F"/>
    <w:rsid w:val="002D33B1"/>
    <w:rsid w:val="002D3591"/>
    <w:rsid w:val="003514A0"/>
    <w:rsid w:val="003C5C0A"/>
    <w:rsid w:val="00433C90"/>
    <w:rsid w:val="004C3F01"/>
    <w:rsid w:val="004F7E17"/>
    <w:rsid w:val="005A05CE"/>
    <w:rsid w:val="00653AF6"/>
    <w:rsid w:val="007943BA"/>
    <w:rsid w:val="007E0DDB"/>
    <w:rsid w:val="008F4009"/>
    <w:rsid w:val="009167CD"/>
    <w:rsid w:val="00A12F6D"/>
    <w:rsid w:val="00A17A28"/>
    <w:rsid w:val="00A362C2"/>
    <w:rsid w:val="00A872DF"/>
    <w:rsid w:val="00B71636"/>
    <w:rsid w:val="00B73A5A"/>
    <w:rsid w:val="00BF0451"/>
    <w:rsid w:val="00C02997"/>
    <w:rsid w:val="00C61CAA"/>
    <w:rsid w:val="00E438A1"/>
    <w:rsid w:val="00E51CE9"/>
    <w:rsid w:val="00E74691"/>
    <w:rsid w:val="00E766D5"/>
    <w:rsid w:val="00F01E19"/>
    <w:rsid w:val="01657B8E"/>
    <w:rsid w:val="29FA1523"/>
    <w:rsid w:val="5EAC13BC"/>
    <w:rsid w:val="69760D46"/>
    <w:rsid w:val="7AD857E4"/>
    <w:rsid w:val="7D43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3964</Words>
  <Characters>22598</Characters>
  <Lines>188</Lines>
  <Paragraphs>53</Paragraphs>
  <TotalTime>8</TotalTime>
  <ScaleCrop>false</ScaleCrop>
  <LinksUpToDate>false</LinksUpToDate>
  <CharactersWithSpaces>26509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2025-09-27T21:21:00Z</dcterms:created>
  <dc:creator>Елена Коробова</dc:creator>
  <cp:lastModifiedBy>Сергей</cp:lastModifiedBy>
  <dcterms:modified xsi:type="dcterms:W3CDTF">2026-01-18T11:07:57Z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B4A0955D2699471DBC4C3C77F5C5D44A_12</vt:lpwstr>
  </property>
</Properties>
</file>